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F6C" w:rsidRDefault="005C699C" w:rsidP="00FE7AC8">
      <w:pPr>
        <w:spacing w:after="0"/>
        <w:jc w:val="center"/>
        <w:rPr>
          <w:rFonts w:asciiTheme="majorHAnsi" w:hAnsiTheme="majorHAnsi" w:cstheme="majorHAnsi"/>
          <w:b/>
          <w:sz w:val="34"/>
          <w:szCs w:val="28"/>
          <w:lang w:val="en-US"/>
        </w:rPr>
      </w:pPr>
      <w:bookmarkStart w:id="0" w:name="_GoBack"/>
      <w:bookmarkEnd w:id="0"/>
      <w:r w:rsidRPr="005C699C">
        <w:rPr>
          <w:rFonts w:asciiTheme="majorHAnsi" w:hAnsiTheme="majorHAnsi" w:cstheme="majorHAnsi"/>
          <w:b/>
          <w:sz w:val="34"/>
          <w:szCs w:val="28"/>
          <w:lang w:val="en-US"/>
        </w:rPr>
        <w:t>DANH MỤC TÀI LIỆU</w:t>
      </w:r>
    </w:p>
    <w:p w:rsidR="00FE7AC8" w:rsidRDefault="00FE7AC8" w:rsidP="00D00A05">
      <w:pPr>
        <w:spacing w:after="0" w:line="240" w:lineRule="auto"/>
        <w:jc w:val="center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FE7AC8">
        <w:rPr>
          <w:rFonts w:asciiTheme="majorHAnsi" w:hAnsiTheme="majorHAnsi" w:cstheme="majorHAnsi"/>
          <w:i/>
          <w:sz w:val="28"/>
          <w:szCs w:val="28"/>
          <w:lang w:val="en-US"/>
        </w:rPr>
        <w:t>(</w:t>
      </w:r>
      <w:r w:rsidR="00D00A05">
        <w:rPr>
          <w:rFonts w:asciiTheme="majorHAnsi" w:hAnsiTheme="majorHAnsi" w:cstheme="majorHAnsi"/>
          <w:i/>
          <w:sz w:val="28"/>
          <w:szCs w:val="28"/>
          <w:lang w:val="en-US"/>
        </w:rPr>
        <w:t>Hồ sơ</w:t>
      </w:r>
      <w:r w:rsidR="0077042C">
        <w:rPr>
          <w:rFonts w:asciiTheme="majorHAnsi" w:hAnsiTheme="majorHAnsi" w:cstheme="majorHAnsi"/>
          <w:i/>
          <w:sz w:val="28"/>
          <w:szCs w:val="28"/>
          <w:lang w:val="en-US"/>
        </w:rPr>
        <w:t xml:space="preserve"> trình</w:t>
      </w:r>
      <w:r w:rsidR="00105466" w:rsidRPr="00105466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r w:rsidR="000C791B">
        <w:rPr>
          <w:rFonts w:asciiTheme="majorHAnsi" w:hAnsiTheme="majorHAnsi" w:cstheme="majorHAnsi"/>
          <w:i/>
          <w:sz w:val="28"/>
          <w:szCs w:val="28"/>
          <w:lang w:val="en-US"/>
        </w:rPr>
        <w:t>Quốc hội</w:t>
      </w:r>
      <w:r w:rsidR="00105466" w:rsidRPr="00105466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r w:rsidR="00D00A05">
        <w:rPr>
          <w:rFonts w:asciiTheme="majorHAnsi" w:hAnsiTheme="majorHAnsi" w:cstheme="majorHAnsi"/>
          <w:i/>
          <w:sz w:val="28"/>
          <w:szCs w:val="28"/>
          <w:lang w:val="en-US"/>
        </w:rPr>
        <w:t>Dự án</w:t>
      </w:r>
      <w:r w:rsidR="00105466" w:rsidRPr="00105466">
        <w:rPr>
          <w:rFonts w:asciiTheme="majorHAnsi" w:hAnsiTheme="majorHAnsi" w:cstheme="majorHAnsi"/>
          <w:i/>
          <w:sz w:val="28"/>
          <w:szCs w:val="28"/>
          <w:lang w:val="en-US"/>
        </w:rPr>
        <w:t xml:space="preserve"> Luật </w:t>
      </w:r>
      <w:r w:rsidR="000C4C54">
        <w:rPr>
          <w:rFonts w:asciiTheme="majorHAnsi" w:hAnsiTheme="majorHAnsi" w:cstheme="majorHAnsi"/>
          <w:i/>
          <w:sz w:val="28"/>
          <w:szCs w:val="28"/>
          <w:lang w:val="en-US"/>
        </w:rPr>
        <w:t xml:space="preserve">Các tổ chức tín dụng </w:t>
      </w:r>
      <w:r w:rsidR="00105466" w:rsidRPr="00105466">
        <w:rPr>
          <w:rFonts w:asciiTheme="majorHAnsi" w:hAnsiTheme="majorHAnsi" w:cstheme="majorHAnsi"/>
          <w:i/>
          <w:sz w:val="28"/>
          <w:szCs w:val="28"/>
          <w:lang w:val="en-US"/>
        </w:rPr>
        <w:t>(sửa đổi)</w:t>
      </w:r>
      <w:r w:rsidR="000C791B">
        <w:rPr>
          <w:rFonts w:asciiTheme="majorHAnsi" w:hAnsiTheme="majorHAnsi" w:cstheme="majorHAnsi"/>
          <w:i/>
          <w:sz w:val="28"/>
          <w:szCs w:val="28"/>
          <w:lang w:val="en-US"/>
        </w:rPr>
        <w:t>)</w:t>
      </w:r>
    </w:p>
    <w:p w:rsidR="00130AFF" w:rsidRPr="004A76EE" w:rsidRDefault="00130AFF" w:rsidP="009319A9">
      <w:pPr>
        <w:spacing w:after="0" w:line="240" w:lineRule="auto"/>
        <w:jc w:val="center"/>
        <w:rPr>
          <w:rFonts w:asciiTheme="majorHAnsi" w:hAnsiTheme="majorHAnsi" w:cstheme="majorHAnsi"/>
          <w:i/>
          <w:sz w:val="20"/>
          <w:szCs w:val="28"/>
          <w:lang w:val="en-US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470"/>
      </w:tblGrid>
      <w:tr w:rsidR="00130AFF" w:rsidTr="00B54526">
        <w:trPr>
          <w:trHeight w:val="302"/>
        </w:trPr>
        <w:tc>
          <w:tcPr>
            <w:tcW w:w="709" w:type="dxa"/>
            <w:vAlign w:val="center"/>
          </w:tcPr>
          <w:p w:rsidR="00130AFF" w:rsidRPr="006640A2" w:rsidRDefault="00130AFF" w:rsidP="00197064">
            <w:pPr>
              <w:spacing w:line="276" w:lineRule="auto"/>
              <w:ind w:right="-108" w:hanging="108"/>
              <w:jc w:val="center"/>
              <w:rPr>
                <w:rFonts w:asciiTheme="majorHAnsi" w:hAnsiTheme="majorHAnsi" w:cstheme="majorHAnsi"/>
                <w:b/>
                <w:sz w:val="27"/>
                <w:szCs w:val="27"/>
                <w:lang w:val="en-US"/>
              </w:rPr>
            </w:pPr>
            <w:r w:rsidRPr="006640A2">
              <w:rPr>
                <w:rFonts w:asciiTheme="majorHAnsi" w:hAnsiTheme="majorHAnsi" w:cstheme="majorHAnsi"/>
                <w:b/>
                <w:sz w:val="27"/>
                <w:szCs w:val="27"/>
                <w:lang w:val="en-US"/>
              </w:rPr>
              <w:t>STT</w:t>
            </w:r>
          </w:p>
        </w:tc>
        <w:tc>
          <w:tcPr>
            <w:tcW w:w="8470" w:type="dxa"/>
            <w:vAlign w:val="center"/>
          </w:tcPr>
          <w:p w:rsidR="00130AFF" w:rsidRPr="00130AFF" w:rsidRDefault="00130AFF" w:rsidP="001970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130AF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TÊN TÀI LIỆU</w:t>
            </w:r>
          </w:p>
        </w:tc>
      </w:tr>
      <w:tr w:rsidR="00130AFF" w:rsidRPr="00294B68" w:rsidTr="00B54526">
        <w:tc>
          <w:tcPr>
            <w:tcW w:w="709" w:type="dxa"/>
            <w:vAlign w:val="center"/>
          </w:tcPr>
          <w:p w:rsidR="00130AFF" w:rsidRPr="00F34FA3" w:rsidRDefault="00130AFF" w:rsidP="0019706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42" w:right="-108" w:hanging="142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470" w:type="dxa"/>
            <w:vAlign w:val="center"/>
          </w:tcPr>
          <w:p w:rsidR="00294B68" w:rsidRDefault="00294B68" w:rsidP="00197064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 xml:space="preserve">- </w:t>
            </w:r>
            <w:r w:rsidR="00130AFF" w:rsidRPr="000C791B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Tờ trình Quốc hội </w:t>
            </w:r>
            <w:r w:rsidR="00130AFF" w:rsidRPr="00C958D1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>số</w:t>
            </w:r>
            <w:r w:rsidR="00785DA8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 xml:space="preserve"> 170</w:t>
            </w:r>
            <w:r w:rsidR="00130AFF" w:rsidRPr="00C958D1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>/TTr-</w:t>
            </w:r>
            <w:r w:rsidR="00130AFF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>CP</w:t>
            </w:r>
            <w:r w:rsidR="00130AFF" w:rsidRPr="00C958D1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 xml:space="preserve"> ngày</w:t>
            </w:r>
            <w:r w:rsidR="00130AFF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 xml:space="preserve"> </w:t>
            </w:r>
            <w:r w:rsidR="00785DA8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>22</w:t>
            </w:r>
            <w:r w:rsidR="00130AFF" w:rsidRPr="00C958D1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>/</w:t>
            </w:r>
            <w:r w:rsidR="009739ED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>5</w:t>
            </w:r>
            <w:r w:rsidR="00130AFF" w:rsidRPr="00C958D1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>/2023 về Dự án Luậ</w:t>
            </w:r>
            <w:r w:rsidR="00E60CC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>t C</w:t>
            </w:r>
            <w:r w:rsidR="00130AFF" w:rsidRPr="00C958D1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 xml:space="preserve">ác </w:t>
            </w:r>
            <w:r w:rsidR="00E60CC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 xml:space="preserve">tổ chức tín dụng </w:t>
            </w:r>
            <w:r w:rsidR="00130AFF" w:rsidRPr="00C958D1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>(sửa đổ</w:t>
            </w:r>
            <w:r w:rsidR="00A1634C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>i)</w:t>
            </w:r>
          </w:p>
          <w:p w:rsidR="00130AFF" w:rsidRPr="00294B68" w:rsidRDefault="00294B68" w:rsidP="00785DA8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 xml:space="preserve">- Tờ trình Quốc hội số </w:t>
            </w:r>
            <w:r w:rsidR="00785DA8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>171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 xml:space="preserve">/TTr-CP ngày </w:t>
            </w:r>
            <w:r w:rsidR="00785DA8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>22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>/</w:t>
            </w:r>
            <w:r w:rsidR="009739ED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>5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>/2023 tóm tắt Dự án Luậ</w:t>
            </w:r>
            <w:r w:rsidR="00793A09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 xml:space="preserve">t </w:t>
            </w:r>
            <w:r w:rsidR="00E60CC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>C</w:t>
            </w:r>
            <w:r w:rsidR="00E60CC7" w:rsidRPr="00C958D1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 xml:space="preserve">ác </w:t>
            </w:r>
            <w:r w:rsidR="00E60CC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>tổ chức tín dụng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 xml:space="preserve"> (sửa đổ</w:t>
            </w:r>
            <w:r w:rsidR="00A1634C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>i)</w:t>
            </w:r>
          </w:p>
        </w:tc>
      </w:tr>
      <w:tr w:rsidR="00130AFF" w:rsidRPr="00294B68" w:rsidTr="00B54526">
        <w:trPr>
          <w:trHeight w:val="371"/>
        </w:trPr>
        <w:tc>
          <w:tcPr>
            <w:tcW w:w="709" w:type="dxa"/>
            <w:vAlign w:val="center"/>
          </w:tcPr>
          <w:p w:rsidR="00130AFF" w:rsidRPr="00294B68" w:rsidRDefault="00130AFF" w:rsidP="0019706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42" w:hanging="142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8470" w:type="dxa"/>
            <w:vAlign w:val="center"/>
          </w:tcPr>
          <w:p w:rsidR="00130AFF" w:rsidRPr="00294B68" w:rsidRDefault="008C43BC" w:rsidP="00197064">
            <w:pPr>
              <w:tabs>
                <w:tab w:val="left" w:pos="0"/>
                <w:tab w:val="left" w:pos="426"/>
                <w:tab w:val="left" w:pos="709"/>
              </w:tabs>
              <w:spacing w:line="276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8C43BC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Dự thảo Luật Các tổ chức tín dụng (sửa đổi);</w:t>
            </w:r>
          </w:p>
        </w:tc>
      </w:tr>
      <w:tr w:rsidR="006A1510" w:rsidTr="00B54526">
        <w:tc>
          <w:tcPr>
            <w:tcW w:w="709" w:type="dxa"/>
            <w:vAlign w:val="center"/>
          </w:tcPr>
          <w:p w:rsidR="006A1510" w:rsidRPr="00294B68" w:rsidRDefault="006A1510" w:rsidP="0019706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42" w:hanging="142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8470" w:type="dxa"/>
            <w:vAlign w:val="center"/>
          </w:tcPr>
          <w:p w:rsidR="006A1510" w:rsidRPr="00A1634C" w:rsidRDefault="006A1510" w:rsidP="00197064">
            <w:pPr>
              <w:tabs>
                <w:tab w:val="left" w:pos="0"/>
                <w:tab w:val="left" w:pos="426"/>
                <w:tab w:val="left" w:pos="709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</w:pPr>
            <w:r w:rsidRPr="004A694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Báo cáo </w:t>
            </w:r>
            <w:r w:rsidR="00CC292C" w:rsidRPr="00CC292C"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  <w:t xml:space="preserve">số </w:t>
            </w:r>
            <w:r w:rsidR="00785DA8"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  <w:t>155</w:t>
            </w:r>
            <w:r w:rsidR="00197064"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  <w:t>/</w:t>
            </w:r>
            <w:r w:rsidRPr="004A694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BC-NHNN ngày </w:t>
            </w:r>
            <w:r w:rsidR="00785DA8" w:rsidRPr="00785DA8"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  <w:t>22/</w:t>
            </w:r>
            <w:r w:rsidR="009739ED" w:rsidRPr="009739ED"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  <w:t>5</w:t>
            </w:r>
            <w:r w:rsidRPr="004A694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/2023</w:t>
            </w:r>
            <w:r w:rsidR="00CC292C" w:rsidRPr="00CC292C"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  <w:t xml:space="preserve"> </w:t>
            </w:r>
            <w:r w:rsidRPr="004A694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tổng kết việc thi hành Luật </w:t>
            </w:r>
            <w:r w:rsidR="00E60CC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>C</w:t>
            </w:r>
            <w:r w:rsidR="00E60CC7" w:rsidRPr="00C958D1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 xml:space="preserve">ác </w:t>
            </w:r>
            <w:r w:rsidR="00E60CC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>tổ chức tín dụng</w:t>
            </w:r>
          </w:p>
          <w:p w:rsidR="006A1510" w:rsidRPr="00A1634C" w:rsidRDefault="006A1510" w:rsidP="00197064">
            <w:pPr>
              <w:tabs>
                <w:tab w:val="left" w:pos="0"/>
                <w:tab w:val="left" w:pos="426"/>
                <w:tab w:val="left" w:pos="709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</w:pPr>
            <w:r w:rsidRPr="00EC203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</w:t>
            </w:r>
            <w:r w:rsidRPr="00434DA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Báo cáo số 174/BC-CP ngày 11/5/2022 tổng kết việc thi hành Nghị quyết số</w:t>
            </w:r>
            <w:r w:rsidR="00A1634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42/2017/NQ-CP</w:t>
            </w:r>
          </w:p>
          <w:p w:rsidR="006A1510" w:rsidRPr="00A1634C" w:rsidRDefault="006A1510" w:rsidP="00197064">
            <w:pPr>
              <w:tabs>
                <w:tab w:val="left" w:pos="0"/>
                <w:tab w:val="left" w:pos="426"/>
                <w:tab w:val="left" w:pos="709"/>
              </w:tabs>
              <w:spacing w:line="276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4A694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Báo cáo tiếp tục hoàn thiện tổng kết Nghị quyết số 42/2017/NQ-CP </w:t>
            </w:r>
            <w:r w:rsidRPr="00E60CC7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(đính kèm Báo cáo 174/BC-CP)</w:t>
            </w:r>
          </w:p>
        </w:tc>
      </w:tr>
      <w:tr w:rsidR="006A1510" w:rsidTr="00B54526">
        <w:tc>
          <w:tcPr>
            <w:tcW w:w="709" w:type="dxa"/>
            <w:vAlign w:val="center"/>
          </w:tcPr>
          <w:p w:rsidR="006A1510" w:rsidRPr="00294B68" w:rsidRDefault="006A1510" w:rsidP="0019706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42" w:hanging="142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8470" w:type="dxa"/>
            <w:vAlign w:val="center"/>
          </w:tcPr>
          <w:p w:rsidR="006A1510" w:rsidRPr="00A1634C" w:rsidRDefault="006A1510" w:rsidP="00197064">
            <w:pPr>
              <w:tabs>
                <w:tab w:val="left" w:pos="0"/>
                <w:tab w:val="left" w:pos="426"/>
                <w:tab w:val="left" w:pos="709"/>
              </w:tabs>
              <w:spacing w:line="276" w:lineRule="auto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lang w:val="pt-BR"/>
              </w:rPr>
            </w:pPr>
            <w:r w:rsidRPr="004A694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Báo cáo </w:t>
            </w:r>
            <w:r w:rsidR="00CC292C" w:rsidRPr="00CC292C"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  <w:t xml:space="preserve">số </w:t>
            </w:r>
            <w:r w:rsidR="00785DA8"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  <w:t>154</w:t>
            </w:r>
            <w:r w:rsidRPr="004A694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/BC-NHNN ngày </w:t>
            </w:r>
            <w:r w:rsidR="00785DA8" w:rsidRPr="00785DA8"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  <w:t>22</w:t>
            </w:r>
            <w:r w:rsidRPr="004A694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/</w:t>
            </w:r>
            <w:r w:rsidR="009739ED" w:rsidRPr="009739ED"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  <w:t>5</w:t>
            </w:r>
            <w:r w:rsidRPr="004A694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/2023 đánh giá tác động của chính sách trong dự thảo Luật </w:t>
            </w:r>
            <w:r w:rsidR="00E60CC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>C</w:t>
            </w:r>
            <w:r w:rsidR="00E60CC7" w:rsidRPr="00C958D1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 xml:space="preserve">ác </w:t>
            </w:r>
            <w:r w:rsidR="00E60CC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>tổ chức tín dụng</w:t>
            </w:r>
            <w:r w:rsidR="00E60CC7" w:rsidRPr="004A694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r w:rsidRPr="004A694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(sửa đổ</w:t>
            </w:r>
            <w:r w:rsidR="00A1634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i)</w:t>
            </w:r>
          </w:p>
          <w:p w:rsidR="006A1510" w:rsidRPr="00A1634C" w:rsidRDefault="006A1510" w:rsidP="00785DA8">
            <w:pPr>
              <w:tabs>
                <w:tab w:val="left" w:pos="0"/>
                <w:tab w:val="left" w:pos="426"/>
                <w:tab w:val="left" w:pos="709"/>
              </w:tabs>
              <w:spacing w:line="276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EC203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</w:t>
            </w:r>
            <w:r w:rsidRPr="00720A8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Báo cáo Đánh giá tác động chính sách mở rộng đối tượng mua nợ của VAMC, bổ sung DATC </w:t>
            </w:r>
            <w:r w:rsidRPr="00E60CC7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 xml:space="preserve">(đính kèm Báo cáo </w:t>
            </w:r>
            <w:r w:rsidR="00785DA8" w:rsidRPr="00785DA8"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lang w:val="pt-BR"/>
              </w:rPr>
              <w:t>154</w:t>
            </w:r>
            <w:r w:rsidRPr="00E60CC7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/BC-NHNN)</w:t>
            </w:r>
          </w:p>
        </w:tc>
      </w:tr>
      <w:tr w:rsidR="0091341E" w:rsidRPr="0097323F" w:rsidTr="00B54526">
        <w:tc>
          <w:tcPr>
            <w:tcW w:w="709" w:type="dxa"/>
            <w:vAlign w:val="center"/>
          </w:tcPr>
          <w:p w:rsidR="0091341E" w:rsidRPr="00294B68" w:rsidRDefault="0091341E" w:rsidP="0019706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42" w:hanging="142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8470" w:type="dxa"/>
            <w:vAlign w:val="center"/>
          </w:tcPr>
          <w:p w:rsidR="0091341E" w:rsidRPr="00A1634C" w:rsidRDefault="0091341E" w:rsidP="00197064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29384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Báo cáo số </w:t>
            </w:r>
            <w:r w:rsidRPr="0054082A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30</w:t>
            </w:r>
            <w:r w:rsidRPr="0029384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/BC-BTP ngày </w:t>
            </w:r>
            <w:r w:rsidRPr="0054082A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22</w:t>
            </w:r>
            <w:r w:rsidRPr="0029384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/3/2023 của Bộ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Tư pháp</w:t>
            </w:r>
            <w:r w:rsidRPr="007914DF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thẩm định dự án Luật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>C</w:t>
            </w:r>
            <w:r w:rsidRPr="00C958D1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 xml:space="preserve">ác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>tổ chức tín dụng</w:t>
            </w:r>
            <w:r w:rsidRPr="007914DF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(sửa đổi)</w:t>
            </w:r>
          </w:p>
        </w:tc>
      </w:tr>
      <w:tr w:rsidR="0091341E" w:rsidRPr="0097323F" w:rsidTr="00B54526">
        <w:tc>
          <w:tcPr>
            <w:tcW w:w="709" w:type="dxa"/>
            <w:vAlign w:val="center"/>
          </w:tcPr>
          <w:p w:rsidR="0091341E" w:rsidRPr="00294B68" w:rsidRDefault="0091341E" w:rsidP="0019706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42" w:hanging="142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8470" w:type="dxa"/>
            <w:vAlign w:val="center"/>
          </w:tcPr>
          <w:p w:rsidR="0091341E" w:rsidRPr="00A1634C" w:rsidRDefault="0091341E" w:rsidP="00197064">
            <w:pPr>
              <w:tabs>
                <w:tab w:val="left" w:pos="0"/>
                <w:tab w:val="left" w:pos="426"/>
                <w:tab w:val="left" w:pos="709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</w:pPr>
            <w:r w:rsidRPr="004A694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Báo cáo số 84/BC-NHNN ngày 24/3/2023 của </w:t>
            </w:r>
            <w:r w:rsidRPr="0097323F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 xml:space="preserve">Ngân hàng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pt-BR"/>
              </w:rPr>
              <w:t>Nhà Nước</w:t>
            </w:r>
            <w:r w:rsidRPr="004A694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giải trình, tiếp thu ý kiến thẩm định của Bộ</w:t>
            </w:r>
            <w:r w:rsidR="00A1634C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Tư pháp</w:t>
            </w:r>
          </w:p>
        </w:tc>
      </w:tr>
      <w:tr w:rsidR="0091341E" w:rsidRPr="0097323F" w:rsidTr="00B54526">
        <w:tc>
          <w:tcPr>
            <w:tcW w:w="709" w:type="dxa"/>
            <w:vAlign w:val="center"/>
          </w:tcPr>
          <w:p w:rsidR="0091341E" w:rsidRPr="00294B68" w:rsidRDefault="0091341E" w:rsidP="0019706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42" w:hanging="142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8470" w:type="dxa"/>
            <w:vAlign w:val="center"/>
          </w:tcPr>
          <w:p w:rsidR="0091341E" w:rsidRPr="00A1634C" w:rsidRDefault="0091341E" w:rsidP="00197064">
            <w:pPr>
              <w:tabs>
                <w:tab w:val="left" w:pos="0"/>
                <w:tab w:val="left" w:pos="426"/>
                <w:tab w:val="left" w:pos="709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</w:pPr>
            <w:r w:rsidRPr="00F40C7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Báo cáo v</w:t>
            </w:r>
            <w:r w:rsidRPr="00F40C7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 xml:space="preserve">ề rà soát các văn bản quy phạm pháp luật có liên quan đến dự thảo </w:t>
            </w:r>
            <w:bookmarkStart w:id="1" w:name="_heading=h.gjdgxs" w:colFirst="0" w:colLast="0"/>
            <w:bookmarkEnd w:id="1"/>
            <w:r w:rsidRPr="00F40C7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 xml:space="preserve">Luật </w:t>
            </w:r>
            <w:r w:rsidRPr="00F40C7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các TCTD</w:t>
            </w:r>
            <w:r w:rsidR="00A163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 xml:space="preserve"> (sửa đổi)</w:t>
            </w:r>
          </w:p>
          <w:p w:rsidR="0091341E" w:rsidRPr="00F40C7D" w:rsidRDefault="00197064" w:rsidP="00197064">
            <w:pPr>
              <w:tabs>
                <w:tab w:val="left" w:pos="0"/>
                <w:tab w:val="left" w:pos="426"/>
                <w:tab w:val="left" w:pos="709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Báo cáo </w:t>
            </w:r>
            <w:r w:rsidR="0091341E" w:rsidRPr="00F40C7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về rà soát tính tương thích của dự thảo Luật các TCTD (sửa đổi) với điều ước quốc tế có liên quan mà CHXHCN Việt Nam là thành viên:</w:t>
            </w:r>
          </w:p>
          <w:p w:rsidR="0091341E" w:rsidRPr="00A1634C" w:rsidRDefault="0091341E" w:rsidP="00197064">
            <w:pPr>
              <w:tabs>
                <w:tab w:val="left" w:pos="0"/>
                <w:tab w:val="left" w:pos="426"/>
                <w:tab w:val="left" w:pos="709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C4C5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+ </w:t>
            </w:r>
            <w:r w:rsidRPr="00AC69D1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Phụ lục. Bảng rà soát đối chiếu nội dung dự thảo Luậ</w:t>
            </w:r>
            <w:r w:rsidR="00A1634C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t</w:t>
            </w:r>
          </w:p>
          <w:p w:rsidR="0091341E" w:rsidRPr="00A1634C" w:rsidRDefault="0091341E" w:rsidP="00197064">
            <w:pPr>
              <w:tabs>
                <w:tab w:val="left" w:pos="0"/>
                <w:tab w:val="left" w:pos="426"/>
                <w:tab w:val="left" w:pos="709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F40C7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+ </w:t>
            </w:r>
            <w:r w:rsidRPr="00F40C7D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Phụ lục. Danh mục văn bả</w:t>
            </w:r>
            <w:r w:rsidR="00A1634C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n QPPL rà soát</w:t>
            </w:r>
          </w:p>
        </w:tc>
      </w:tr>
      <w:tr w:rsidR="0091341E" w:rsidRPr="0097323F" w:rsidTr="00B54526">
        <w:tc>
          <w:tcPr>
            <w:tcW w:w="709" w:type="dxa"/>
            <w:vAlign w:val="center"/>
          </w:tcPr>
          <w:p w:rsidR="0091341E" w:rsidRPr="00294B68" w:rsidRDefault="0091341E" w:rsidP="0019706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42" w:hanging="142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8470" w:type="dxa"/>
            <w:vAlign w:val="center"/>
          </w:tcPr>
          <w:p w:rsidR="0091341E" w:rsidRPr="00A1634C" w:rsidRDefault="0091341E" w:rsidP="00197064">
            <w:pPr>
              <w:tabs>
                <w:tab w:val="left" w:pos="0"/>
                <w:tab w:val="left" w:pos="426"/>
                <w:tab w:val="left" w:pos="709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</w:pPr>
            <w:r w:rsidRPr="009319A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Báo cáo về lồng ghép vấn đề bình đẳng giới trong dự án Luật các TCTD (sửa đổ</w:t>
            </w:r>
            <w:r w:rsidR="00A1634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i)</w:t>
            </w:r>
          </w:p>
        </w:tc>
      </w:tr>
      <w:tr w:rsidR="0091341E" w:rsidRPr="004A6946" w:rsidTr="00B54526">
        <w:tc>
          <w:tcPr>
            <w:tcW w:w="709" w:type="dxa"/>
            <w:vAlign w:val="center"/>
          </w:tcPr>
          <w:p w:rsidR="0091341E" w:rsidRPr="00F34FA3" w:rsidRDefault="0091341E" w:rsidP="0019706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42" w:hanging="14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8470" w:type="dxa"/>
            <w:vAlign w:val="center"/>
          </w:tcPr>
          <w:p w:rsidR="0091341E" w:rsidRPr="009319A9" w:rsidRDefault="0091341E" w:rsidP="00197064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319A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</w:t>
            </w:r>
            <w:r w:rsidRPr="008F221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Bản tổng hợp, giải trình, tiếp thu ý kiến góp ý của Bộ, ngành đối với dự thảo Luật các TCTD (sửa đổi);</w:t>
            </w:r>
          </w:p>
          <w:p w:rsidR="0091341E" w:rsidRPr="00F40C7D" w:rsidRDefault="0091341E" w:rsidP="00197064">
            <w:pPr>
              <w:tabs>
                <w:tab w:val="left" w:pos="0"/>
                <w:tab w:val="left" w:pos="426"/>
                <w:tab w:val="left" w:pos="709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AF6C8A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Bản sao ý kiến góp ý của Bộ, ngành</w:t>
            </w:r>
          </w:p>
        </w:tc>
      </w:tr>
      <w:tr w:rsidR="0091341E" w:rsidRPr="004A6946" w:rsidTr="00B54526">
        <w:tc>
          <w:tcPr>
            <w:tcW w:w="709" w:type="dxa"/>
            <w:vAlign w:val="center"/>
          </w:tcPr>
          <w:p w:rsidR="0091341E" w:rsidRPr="00F34FA3" w:rsidRDefault="0091341E" w:rsidP="0019706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42" w:hanging="14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8470" w:type="dxa"/>
            <w:vAlign w:val="center"/>
          </w:tcPr>
          <w:p w:rsidR="0091341E" w:rsidRPr="000C4C54" w:rsidRDefault="0091341E" w:rsidP="00197064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9A4DF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Bản tổng hợp, tiếp thu, giải trình ý kiến của các đối tượng chịu tác động</w:t>
            </w:r>
          </w:p>
        </w:tc>
      </w:tr>
      <w:tr w:rsidR="0091341E" w:rsidRPr="004A6946" w:rsidTr="00B54526">
        <w:trPr>
          <w:trHeight w:val="373"/>
        </w:trPr>
        <w:tc>
          <w:tcPr>
            <w:tcW w:w="709" w:type="dxa"/>
            <w:vAlign w:val="center"/>
          </w:tcPr>
          <w:p w:rsidR="0091341E" w:rsidRPr="00F34FA3" w:rsidRDefault="0091341E" w:rsidP="0019706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42" w:hanging="14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8470" w:type="dxa"/>
            <w:vAlign w:val="center"/>
          </w:tcPr>
          <w:p w:rsidR="0091341E" w:rsidRPr="0011627B" w:rsidRDefault="0091341E" w:rsidP="00197064">
            <w:pPr>
              <w:tabs>
                <w:tab w:val="left" w:pos="0"/>
                <w:tab w:val="left" w:pos="426"/>
                <w:tab w:val="left" w:pos="709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11627B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Các d</w:t>
            </w:r>
            <w:r w:rsidRPr="009319A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ự thảo văn bản quy định chi tiết</w:t>
            </w:r>
            <w:r w:rsidRPr="0011627B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Luật</w:t>
            </w:r>
          </w:p>
        </w:tc>
      </w:tr>
      <w:tr w:rsidR="00EE31F0" w:rsidRPr="00AF6C8A" w:rsidTr="00B54526">
        <w:tc>
          <w:tcPr>
            <w:tcW w:w="709" w:type="dxa"/>
            <w:vAlign w:val="center"/>
          </w:tcPr>
          <w:p w:rsidR="00EE31F0" w:rsidRPr="00F34FA3" w:rsidRDefault="00EE31F0" w:rsidP="0019706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42" w:hanging="14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8470" w:type="dxa"/>
            <w:vAlign w:val="center"/>
          </w:tcPr>
          <w:p w:rsidR="00EE31F0" w:rsidRPr="00EE31F0" w:rsidRDefault="00EE31F0" w:rsidP="00197064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EE31F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Bản so sánh, thuyết minh dự thảo Luật các TCTD (sửa đổi)</w:t>
            </w:r>
          </w:p>
        </w:tc>
      </w:tr>
      <w:tr w:rsidR="0091341E" w:rsidRPr="00AF6C8A" w:rsidTr="00B54526">
        <w:tc>
          <w:tcPr>
            <w:tcW w:w="709" w:type="dxa"/>
            <w:vAlign w:val="center"/>
          </w:tcPr>
          <w:p w:rsidR="0091341E" w:rsidRPr="00F34FA3" w:rsidRDefault="0091341E" w:rsidP="0019706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42" w:hanging="14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8470" w:type="dxa"/>
            <w:vAlign w:val="center"/>
          </w:tcPr>
          <w:p w:rsidR="0091341E" w:rsidRPr="00A1634C" w:rsidRDefault="0091341E" w:rsidP="00197064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9319A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Tài liệu tham khảo: </w:t>
            </w:r>
            <w:r w:rsidRPr="009319A9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Tổng hợp kinh nghiệm quốc tế</w:t>
            </w:r>
          </w:p>
        </w:tc>
      </w:tr>
    </w:tbl>
    <w:p w:rsidR="009319A9" w:rsidRPr="00785DA8" w:rsidRDefault="009319A9" w:rsidP="00197064">
      <w:pPr>
        <w:tabs>
          <w:tab w:val="left" w:pos="0"/>
          <w:tab w:val="left" w:pos="426"/>
          <w:tab w:val="left" w:pos="709"/>
        </w:tabs>
        <w:spacing w:before="480" w:after="480" w:line="380" w:lineRule="exact"/>
        <w:jc w:val="both"/>
        <w:rPr>
          <w:rFonts w:asciiTheme="majorHAnsi" w:hAnsiTheme="majorHAnsi" w:cstheme="majorHAnsi"/>
          <w:color w:val="000000"/>
          <w:sz w:val="28"/>
          <w:szCs w:val="28"/>
        </w:rPr>
      </w:pPr>
    </w:p>
    <w:sectPr w:rsidR="009319A9" w:rsidRPr="00785DA8" w:rsidSect="00B54526">
      <w:pgSz w:w="11906" w:h="16838"/>
      <w:pgMar w:top="1134" w:right="1134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6DB8"/>
    <w:multiLevelType w:val="hybridMultilevel"/>
    <w:tmpl w:val="162CE56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5633"/>
    <w:multiLevelType w:val="hybridMultilevel"/>
    <w:tmpl w:val="7FE85C32"/>
    <w:lvl w:ilvl="0" w:tplc="816200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62D5"/>
    <w:multiLevelType w:val="hybridMultilevel"/>
    <w:tmpl w:val="2D58F9CE"/>
    <w:lvl w:ilvl="0" w:tplc="E9F608A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C51FE"/>
    <w:multiLevelType w:val="hybridMultilevel"/>
    <w:tmpl w:val="E6865C78"/>
    <w:lvl w:ilvl="0" w:tplc="DA300CA8">
      <w:start w:val="1"/>
      <w:numFmt w:val="decimal"/>
      <w:lvlText w:val="%1)"/>
      <w:lvlJc w:val="left"/>
      <w:pPr>
        <w:ind w:left="720" w:hanging="360"/>
      </w:pPr>
      <w:rPr>
        <w:b/>
        <w:i/>
        <w:lang w:val="en-US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60BC2"/>
    <w:multiLevelType w:val="hybridMultilevel"/>
    <w:tmpl w:val="E6865C78"/>
    <w:lvl w:ilvl="0" w:tplc="DA300CA8">
      <w:start w:val="1"/>
      <w:numFmt w:val="decimal"/>
      <w:lvlText w:val="%1)"/>
      <w:lvlJc w:val="left"/>
      <w:pPr>
        <w:ind w:left="720" w:hanging="360"/>
      </w:pPr>
      <w:rPr>
        <w:b/>
        <w:i/>
        <w:lang w:val="en-US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D091B"/>
    <w:multiLevelType w:val="hybridMultilevel"/>
    <w:tmpl w:val="923441A8"/>
    <w:lvl w:ilvl="0" w:tplc="3DA40EE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645D3"/>
    <w:multiLevelType w:val="hybridMultilevel"/>
    <w:tmpl w:val="27CC13C2"/>
    <w:lvl w:ilvl="0" w:tplc="A176BB8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9C"/>
    <w:rsid w:val="00022FE0"/>
    <w:rsid w:val="000826AB"/>
    <w:rsid w:val="000C4C54"/>
    <w:rsid w:val="000C791B"/>
    <w:rsid w:val="000D16DA"/>
    <w:rsid w:val="00105466"/>
    <w:rsid w:val="0011627B"/>
    <w:rsid w:val="001301A4"/>
    <w:rsid w:val="00130AFF"/>
    <w:rsid w:val="00197064"/>
    <w:rsid w:val="002360EC"/>
    <w:rsid w:val="0024450D"/>
    <w:rsid w:val="002639D7"/>
    <w:rsid w:val="00293842"/>
    <w:rsid w:val="00294B68"/>
    <w:rsid w:val="003539C1"/>
    <w:rsid w:val="00364ED2"/>
    <w:rsid w:val="003806ED"/>
    <w:rsid w:val="00410654"/>
    <w:rsid w:val="00434DA8"/>
    <w:rsid w:val="00481979"/>
    <w:rsid w:val="004A6946"/>
    <w:rsid w:val="004A76EE"/>
    <w:rsid w:val="004C35DA"/>
    <w:rsid w:val="004C5A06"/>
    <w:rsid w:val="0051105D"/>
    <w:rsid w:val="0054082A"/>
    <w:rsid w:val="00571614"/>
    <w:rsid w:val="005C5D86"/>
    <w:rsid w:val="005C699C"/>
    <w:rsid w:val="005E50D1"/>
    <w:rsid w:val="00626B42"/>
    <w:rsid w:val="00630116"/>
    <w:rsid w:val="006336E0"/>
    <w:rsid w:val="006640A2"/>
    <w:rsid w:val="006920F3"/>
    <w:rsid w:val="006A1510"/>
    <w:rsid w:val="006C5BFC"/>
    <w:rsid w:val="006F5D09"/>
    <w:rsid w:val="00720A80"/>
    <w:rsid w:val="0077042C"/>
    <w:rsid w:val="00785DA8"/>
    <w:rsid w:val="007914DF"/>
    <w:rsid w:val="00793A09"/>
    <w:rsid w:val="007D1B2C"/>
    <w:rsid w:val="007F6274"/>
    <w:rsid w:val="00813285"/>
    <w:rsid w:val="00826A17"/>
    <w:rsid w:val="00871AA1"/>
    <w:rsid w:val="0087314C"/>
    <w:rsid w:val="008962FA"/>
    <w:rsid w:val="008C43BC"/>
    <w:rsid w:val="008F2219"/>
    <w:rsid w:val="0091341E"/>
    <w:rsid w:val="009319A9"/>
    <w:rsid w:val="0097323F"/>
    <w:rsid w:val="009739ED"/>
    <w:rsid w:val="00982559"/>
    <w:rsid w:val="00986F4A"/>
    <w:rsid w:val="00A1634C"/>
    <w:rsid w:val="00A23FD5"/>
    <w:rsid w:val="00A3733A"/>
    <w:rsid w:val="00AA583A"/>
    <w:rsid w:val="00AC69D1"/>
    <w:rsid w:val="00AF6C8A"/>
    <w:rsid w:val="00B33EC1"/>
    <w:rsid w:val="00B54526"/>
    <w:rsid w:val="00B57646"/>
    <w:rsid w:val="00B61E85"/>
    <w:rsid w:val="00B80B8D"/>
    <w:rsid w:val="00C06C37"/>
    <w:rsid w:val="00C448A3"/>
    <w:rsid w:val="00C958D1"/>
    <w:rsid w:val="00CC292C"/>
    <w:rsid w:val="00D00A05"/>
    <w:rsid w:val="00D07C94"/>
    <w:rsid w:val="00D57C44"/>
    <w:rsid w:val="00D71125"/>
    <w:rsid w:val="00DD59D6"/>
    <w:rsid w:val="00DD5C89"/>
    <w:rsid w:val="00DE0207"/>
    <w:rsid w:val="00E12794"/>
    <w:rsid w:val="00E250AB"/>
    <w:rsid w:val="00E43011"/>
    <w:rsid w:val="00E47529"/>
    <w:rsid w:val="00E527DF"/>
    <w:rsid w:val="00E60CC7"/>
    <w:rsid w:val="00E62375"/>
    <w:rsid w:val="00EC1F6C"/>
    <w:rsid w:val="00EC203E"/>
    <w:rsid w:val="00EC67FC"/>
    <w:rsid w:val="00ED30D0"/>
    <w:rsid w:val="00EE31F0"/>
    <w:rsid w:val="00EF4EDA"/>
    <w:rsid w:val="00F25F57"/>
    <w:rsid w:val="00F31A61"/>
    <w:rsid w:val="00F34FA3"/>
    <w:rsid w:val="00F40C7D"/>
    <w:rsid w:val="00F634BC"/>
    <w:rsid w:val="00F64D4B"/>
    <w:rsid w:val="00F95BFB"/>
    <w:rsid w:val="00FA2059"/>
    <w:rsid w:val="00FE7AC8"/>
    <w:rsid w:val="00FF1CBD"/>
    <w:rsid w:val="00F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7F0B02-241E-4FF6-AA0D-F5B7ACE8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AA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Title">
    <w:name w:val="Title"/>
    <w:basedOn w:val="Normal"/>
    <w:next w:val="Normal"/>
    <w:link w:val="TitleChar"/>
    <w:uiPriority w:val="10"/>
    <w:qFormat/>
    <w:rsid w:val="005110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10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30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F920C-007E-4ED1-A818-D45E786B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 Nam (PC)</dc:creator>
  <cp:lastModifiedBy>User</cp:lastModifiedBy>
  <cp:revision>2</cp:revision>
  <cp:lastPrinted>2023-05-23T02:30:00Z</cp:lastPrinted>
  <dcterms:created xsi:type="dcterms:W3CDTF">2023-05-24T07:39:00Z</dcterms:created>
  <dcterms:modified xsi:type="dcterms:W3CDTF">2023-05-24T07:39:00Z</dcterms:modified>
</cp:coreProperties>
</file>